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842"/>
        <w:gridCol w:w="1985"/>
        <w:gridCol w:w="2126"/>
      </w:tblGrid>
      <w:tr w:rsidR="00452C66" w:rsidRPr="002B630A" w:rsidTr="009E2D95">
        <w:tc>
          <w:tcPr>
            <w:tcW w:w="9209" w:type="dxa"/>
            <w:gridSpan w:val="4"/>
          </w:tcPr>
          <w:p w:rsidR="00226A71" w:rsidRDefault="00226A71" w:rsidP="007E6BA9">
            <w:pPr>
              <w:tabs>
                <w:tab w:val="left" w:pos="3573"/>
              </w:tabs>
              <w:rPr>
                <w:b/>
                <w:sz w:val="20"/>
                <w:szCs w:val="20"/>
              </w:rPr>
            </w:pPr>
            <w:r w:rsidRPr="00B25405">
              <w:rPr>
                <w:b/>
                <w:sz w:val="20"/>
                <w:szCs w:val="20"/>
              </w:rPr>
              <w:t>Continuing Statutory Service  (Proposed Base Budget Reduction Targets)</w:t>
            </w:r>
            <w:r>
              <w:rPr>
                <w:b/>
                <w:sz w:val="20"/>
                <w:szCs w:val="20"/>
              </w:rPr>
              <w:t xml:space="preserve"> – Template 2</w:t>
            </w:r>
          </w:p>
          <w:p w:rsidR="00452C66" w:rsidRPr="002B630A" w:rsidRDefault="009F4C15" w:rsidP="0008516B">
            <w:pPr>
              <w:rPr>
                <w:b/>
                <w:sz w:val="20"/>
                <w:szCs w:val="20"/>
              </w:rPr>
            </w:pPr>
            <w:r>
              <w:rPr>
                <w:b/>
                <w:sz w:val="20"/>
                <w:szCs w:val="20"/>
              </w:rPr>
              <w:t>BOP 025</w:t>
            </w:r>
          </w:p>
        </w:tc>
      </w:tr>
      <w:tr w:rsidR="00452C66" w:rsidRPr="002B630A" w:rsidTr="009E2D95">
        <w:tc>
          <w:tcPr>
            <w:tcW w:w="3256" w:type="dxa"/>
          </w:tcPr>
          <w:p w:rsidR="00452C66" w:rsidRDefault="00452C66" w:rsidP="00452C66">
            <w:pPr>
              <w:rPr>
                <w:sz w:val="20"/>
                <w:szCs w:val="20"/>
              </w:rPr>
            </w:pPr>
            <w:r w:rsidRPr="002B630A">
              <w:rPr>
                <w:sz w:val="20"/>
                <w:szCs w:val="20"/>
              </w:rPr>
              <w:t>Service name</w:t>
            </w:r>
          </w:p>
          <w:p w:rsidR="002013CF" w:rsidRPr="002B630A" w:rsidRDefault="002013CF" w:rsidP="00452C66">
            <w:pPr>
              <w:rPr>
                <w:sz w:val="20"/>
                <w:szCs w:val="20"/>
              </w:rPr>
            </w:pPr>
            <w:r>
              <w:rPr>
                <w:sz w:val="20"/>
                <w:szCs w:val="20"/>
              </w:rPr>
              <w:t>Human Resources</w:t>
            </w:r>
            <w:r w:rsidR="00EB46A1">
              <w:rPr>
                <w:sz w:val="20"/>
                <w:szCs w:val="20"/>
              </w:rPr>
              <w:t xml:space="preserve"> (BBR 055)</w:t>
            </w:r>
          </w:p>
        </w:tc>
        <w:tc>
          <w:tcPr>
            <w:tcW w:w="5953" w:type="dxa"/>
            <w:gridSpan w:val="3"/>
          </w:tcPr>
          <w:p w:rsidR="00452C66" w:rsidRPr="002B630A" w:rsidRDefault="00452C66" w:rsidP="0030700E">
            <w:pPr>
              <w:rPr>
                <w:sz w:val="20"/>
                <w:szCs w:val="20"/>
              </w:rPr>
            </w:pPr>
            <w:r w:rsidRPr="002B630A">
              <w:rPr>
                <w:sz w:val="20"/>
                <w:szCs w:val="20"/>
              </w:rPr>
              <w:t>Service description</w:t>
            </w:r>
            <w:r w:rsidR="0030700E">
              <w:rPr>
                <w:sz w:val="20"/>
                <w:szCs w:val="20"/>
              </w:rPr>
              <w:t xml:space="preserve"> – please see over</w:t>
            </w:r>
            <w:r>
              <w:rPr>
                <w:sz w:val="20"/>
                <w:szCs w:val="20"/>
              </w:rPr>
              <w:br/>
            </w:r>
          </w:p>
        </w:tc>
      </w:tr>
      <w:tr w:rsidR="00452C66" w:rsidRPr="002B630A" w:rsidTr="00084304">
        <w:tc>
          <w:tcPr>
            <w:tcW w:w="3256" w:type="dxa"/>
            <w:tcBorders>
              <w:bottom w:val="single" w:sz="4" w:space="0" w:color="auto"/>
            </w:tcBorders>
          </w:tcPr>
          <w:p w:rsidR="00452C66" w:rsidRPr="002B630A" w:rsidRDefault="00452C66" w:rsidP="00452C66">
            <w:pPr>
              <w:rPr>
                <w:sz w:val="20"/>
                <w:szCs w:val="20"/>
              </w:rPr>
            </w:pPr>
          </w:p>
        </w:tc>
        <w:tc>
          <w:tcPr>
            <w:tcW w:w="1842" w:type="dxa"/>
            <w:tcBorders>
              <w:bottom w:val="single" w:sz="4" w:space="0" w:color="auto"/>
            </w:tcBorders>
          </w:tcPr>
          <w:p w:rsidR="00452C66" w:rsidRPr="00084304" w:rsidRDefault="00452C66" w:rsidP="00452C66">
            <w:pPr>
              <w:jc w:val="center"/>
              <w:rPr>
                <w:b/>
                <w:sz w:val="20"/>
                <w:szCs w:val="20"/>
              </w:rPr>
            </w:pPr>
            <w:r w:rsidRPr="00084304">
              <w:rPr>
                <w:b/>
                <w:sz w:val="20"/>
                <w:szCs w:val="20"/>
              </w:rPr>
              <w:t>2015/16</w:t>
            </w:r>
          </w:p>
        </w:tc>
        <w:tc>
          <w:tcPr>
            <w:tcW w:w="1985" w:type="dxa"/>
            <w:tcBorders>
              <w:bottom w:val="single" w:sz="4" w:space="0" w:color="auto"/>
            </w:tcBorders>
          </w:tcPr>
          <w:p w:rsidR="00452C66" w:rsidRPr="00084304" w:rsidRDefault="00452C66" w:rsidP="00452C66">
            <w:pPr>
              <w:jc w:val="center"/>
              <w:rPr>
                <w:b/>
                <w:sz w:val="20"/>
                <w:szCs w:val="20"/>
              </w:rPr>
            </w:pPr>
            <w:r w:rsidRPr="00084304">
              <w:rPr>
                <w:b/>
                <w:sz w:val="20"/>
                <w:szCs w:val="20"/>
              </w:rPr>
              <w:t>2016/17</w:t>
            </w:r>
          </w:p>
        </w:tc>
        <w:tc>
          <w:tcPr>
            <w:tcW w:w="2126" w:type="dxa"/>
            <w:tcBorders>
              <w:bottom w:val="single" w:sz="4" w:space="0" w:color="auto"/>
            </w:tcBorders>
          </w:tcPr>
          <w:p w:rsidR="00452C66" w:rsidRPr="00084304" w:rsidRDefault="00452C66" w:rsidP="00452C66">
            <w:pPr>
              <w:jc w:val="center"/>
              <w:rPr>
                <w:b/>
                <w:sz w:val="20"/>
                <w:szCs w:val="20"/>
              </w:rPr>
            </w:pPr>
            <w:r w:rsidRPr="00084304">
              <w:rPr>
                <w:b/>
                <w:sz w:val="20"/>
                <w:szCs w:val="20"/>
              </w:rPr>
              <w:t>2017/18</w:t>
            </w:r>
          </w:p>
        </w:tc>
      </w:tr>
      <w:tr w:rsidR="00891611" w:rsidRPr="002B630A" w:rsidTr="0027608A">
        <w:tc>
          <w:tcPr>
            <w:tcW w:w="3256" w:type="dxa"/>
            <w:tcBorders>
              <w:top w:val="nil"/>
              <w:bottom w:val="single" w:sz="4" w:space="0" w:color="auto"/>
            </w:tcBorders>
          </w:tcPr>
          <w:p w:rsidR="00891611" w:rsidRPr="004D588F" w:rsidRDefault="00891611" w:rsidP="00891611">
            <w:pPr>
              <w:rPr>
                <w:sz w:val="20"/>
                <w:szCs w:val="20"/>
              </w:rPr>
            </w:pPr>
            <w:r>
              <w:rPr>
                <w:sz w:val="20"/>
                <w:szCs w:val="20"/>
              </w:rPr>
              <w:t>Forecast before savings</w:t>
            </w:r>
          </w:p>
        </w:tc>
        <w:tc>
          <w:tcPr>
            <w:tcW w:w="1842" w:type="dxa"/>
            <w:tcBorders>
              <w:top w:val="nil"/>
              <w:bottom w:val="single" w:sz="4" w:space="0" w:color="auto"/>
            </w:tcBorders>
          </w:tcPr>
          <w:p w:rsidR="00891611" w:rsidRPr="00F32F81" w:rsidRDefault="00891611" w:rsidP="00891611">
            <w:pPr>
              <w:jc w:val="right"/>
              <w:rPr>
                <w:sz w:val="20"/>
                <w:szCs w:val="20"/>
              </w:rPr>
            </w:pPr>
            <w:r w:rsidRPr="00FB7ABB">
              <w:rPr>
                <w:noProof/>
                <w:sz w:val="20"/>
                <w:szCs w:val="20"/>
              </w:rPr>
              <w:t>0.898</w:t>
            </w:r>
          </w:p>
        </w:tc>
        <w:tc>
          <w:tcPr>
            <w:tcW w:w="1985" w:type="dxa"/>
            <w:tcBorders>
              <w:top w:val="nil"/>
              <w:bottom w:val="single" w:sz="4" w:space="0" w:color="auto"/>
            </w:tcBorders>
          </w:tcPr>
          <w:p w:rsidR="00891611" w:rsidRPr="00F32F81" w:rsidRDefault="00891611" w:rsidP="00891611">
            <w:pPr>
              <w:jc w:val="right"/>
              <w:rPr>
                <w:sz w:val="20"/>
                <w:szCs w:val="20"/>
              </w:rPr>
            </w:pPr>
            <w:r w:rsidRPr="00FB7ABB">
              <w:rPr>
                <w:noProof/>
                <w:sz w:val="20"/>
                <w:szCs w:val="20"/>
              </w:rPr>
              <w:t>0.901</w:t>
            </w:r>
          </w:p>
        </w:tc>
        <w:tc>
          <w:tcPr>
            <w:tcW w:w="2126" w:type="dxa"/>
            <w:tcBorders>
              <w:top w:val="nil"/>
              <w:bottom w:val="single" w:sz="4" w:space="0" w:color="auto"/>
            </w:tcBorders>
          </w:tcPr>
          <w:p w:rsidR="00891611" w:rsidRPr="00F32F81" w:rsidRDefault="00891611" w:rsidP="00891611">
            <w:pPr>
              <w:jc w:val="right"/>
              <w:rPr>
                <w:sz w:val="20"/>
                <w:szCs w:val="20"/>
              </w:rPr>
            </w:pPr>
            <w:r w:rsidRPr="00FB7ABB">
              <w:rPr>
                <w:noProof/>
                <w:sz w:val="20"/>
                <w:szCs w:val="20"/>
              </w:rPr>
              <w:t>0.915</w:t>
            </w:r>
          </w:p>
        </w:tc>
      </w:tr>
      <w:tr w:rsidR="00891611" w:rsidRPr="002B630A" w:rsidTr="0027608A">
        <w:tc>
          <w:tcPr>
            <w:tcW w:w="3256" w:type="dxa"/>
            <w:shd w:val="clear" w:color="auto" w:fill="auto"/>
          </w:tcPr>
          <w:p w:rsidR="00891611" w:rsidRDefault="00891611" w:rsidP="00891611">
            <w:pPr>
              <w:rPr>
                <w:sz w:val="20"/>
                <w:szCs w:val="20"/>
              </w:rPr>
            </w:pPr>
            <w:r>
              <w:rPr>
                <w:sz w:val="20"/>
                <w:szCs w:val="20"/>
              </w:rPr>
              <w:t>Budgeted savings (cumulative)</w:t>
            </w:r>
          </w:p>
        </w:tc>
        <w:tc>
          <w:tcPr>
            <w:tcW w:w="1842" w:type="dxa"/>
            <w:shd w:val="clear" w:color="auto" w:fill="auto"/>
          </w:tcPr>
          <w:p w:rsidR="00891611" w:rsidRPr="00F32F81" w:rsidRDefault="00891611" w:rsidP="00891611">
            <w:pPr>
              <w:jc w:val="right"/>
              <w:rPr>
                <w:sz w:val="20"/>
                <w:szCs w:val="20"/>
              </w:rPr>
            </w:pPr>
            <w:r w:rsidRPr="00FB7ABB">
              <w:rPr>
                <w:noProof/>
                <w:sz w:val="20"/>
                <w:szCs w:val="20"/>
              </w:rPr>
              <w:t>-0.100</w:t>
            </w:r>
          </w:p>
        </w:tc>
        <w:tc>
          <w:tcPr>
            <w:tcW w:w="1985" w:type="dxa"/>
            <w:shd w:val="clear" w:color="auto" w:fill="auto"/>
          </w:tcPr>
          <w:p w:rsidR="00891611" w:rsidRPr="00F32F81" w:rsidRDefault="00891611" w:rsidP="00891611">
            <w:pPr>
              <w:jc w:val="right"/>
              <w:rPr>
                <w:sz w:val="20"/>
                <w:szCs w:val="20"/>
              </w:rPr>
            </w:pPr>
            <w:r w:rsidRPr="00FB7ABB">
              <w:rPr>
                <w:noProof/>
                <w:sz w:val="20"/>
                <w:szCs w:val="20"/>
              </w:rPr>
              <w:t>-0.100</w:t>
            </w:r>
          </w:p>
        </w:tc>
        <w:tc>
          <w:tcPr>
            <w:tcW w:w="2126" w:type="dxa"/>
            <w:shd w:val="clear" w:color="auto" w:fill="auto"/>
          </w:tcPr>
          <w:p w:rsidR="00891611" w:rsidRPr="00F32F81" w:rsidRDefault="00891611" w:rsidP="00891611">
            <w:pPr>
              <w:jc w:val="right"/>
              <w:rPr>
                <w:sz w:val="20"/>
                <w:szCs w:val="20"/>
              </w:rPr>
            </w:pPr>
            <w:r w:rsidRPr="00FB7ABB">
              <w:rPr>
                <w:noProof/>
                <w:sz w:val="20"/>
                <w:szCs w:val="20"/>
              </w:rPr>
              <w:t>-0.120</w:t>
            </w:r>
          </w:p>
        </w:tc>
      </w:tr>
      <w:tr w:rsidR="00891611" w:rsidRPr="002B630A" w:rsidTr="0027608A">
        <w:tc>
          <w:tcPr>
            <w:tcW w:w="3256" w:type="dxa"/>
          </w:tcPr>
          <w:p w:rsidR="00891611" w:rsidRDefault="00891611" w:rsidP="00891611">
            <w:pPr>
              <w:rPr>
                <w:sz w:val="20"/>
                <w:szCs w:val="20"/>
              </w:rPr>
            </w:pPr>
            <w:r>
              <w:rPr>
                <w:sz w:val="20"/>
                <w:szCs w:val="20"/>
              </w:rPr>
              <w:t>Planned net expenditure</w:t>
            </w:r>
            <w:r w:rsidRPr="004D588F">
              <w:rPr>
                <w:sz w:val="20"/>
                <w:szCs w:val="20"/>
              </w:rPr>
              <w:t xml:space="preserve"> </w:t>
            </w:r>
          </w:p>
          <w:p w:rsidR="00891611" w:rsidRDefault="00891611" w:rsidP="00891611">
            <w:pPr>
              <w:rPr>
                <w:sz w:val="20"/>
                <w:szCs w:val="20"/>
              </w:rPr>
            </w:pPr>
            <w:r w:rsidRPr="005B77F6">
              <w:rPr>
                <w:b/>
                <w:sz w:val="20"/>
                <w:szCs w:val="20"/>
              </w:rPr>
              <w:t>(Approved 2015 net budget)</w:t>
            </w:r>
          </w:p>
        </w:tc>
        <w:tc>
          <w:tcPr>
            <w:tcW w:w="1842" w:type="dxa"/>
            <w:tcBorders>
              <w:bottom w:val="single" w:sz="4" w:space="0" w:color="auto"/>
            </w:tcBorders>
          </w:tcPr>
          <w:p w:rsidR="00891611" w:rsidRPr="00B25405" w:rsidRDefault="00891611" w:rsidP="00891611">
            <w:pPr>
              <w:jc w:val="right"/>
              <w:rPr>
                <w:sz w:val="20"/>
                <w:szCs w:val="20"/>
              </w:rPr>
            </w:pPr>
            <w:r w:rsidRPr="00FB7ABB">
              <w:rPr>
                <w:noProof/>
                <w:sz w:val="20"/>
                <w:szCs w:val="20"/>
              </w:rPr>
              <w:t>0.798</w:t>
            </w:r>
          </w:p>
        </w:tc>
        <w:tc>
          <w:tcPr>
            <w:tcW w:w="1985" w:type="dxa"/>
            <w:tcBorders>
              <w:bottom w:val="single" w:sz="4" w:space="0" w:color="auto"/>
            </w:tcBorders>
          </w:tcPr>
          <w:p w:rsidR="00891611" w:rsidRPr="00B25405" w:rsidRDefault="00891611" w:rsidP="00891611">
            <w:pPr>
              <w:jc w:val="right"/>
              <w:rPr>
                <w:sz w:val="20"/>
                <w:szCs w:val="20"/>
              </w:rPr>
            </w:pPr>
            <w:r w:rsidRPr="00FB7ABB">
              <w:rPr>
                <w:noProof/>
                <w:sz w:val="20"/>
                <w:szCs w:val="20"/>
              </w:rPr>
              <w:t>0.801</w:t>
            </w:r>
          </w:p>
        </w:tc>
        <w:tc>
          <w:tcPr>
            <w:tcW w:w="2126" w:type="dxa"/>
            <w:tcBorders>
              <w:bottom w:val="single" w:sz="4" w:space="0" w:color="auto"/>
            </w:tcBorders>
          </w:tcPr>
          <w:p w:rsidR="00891611" w:rsidRPr="00B25405" w:rsidRDefault="00891611" w:rsidP="00891611">
            <w:pPr>
              <w:jc w:val="right"/>
              <w:rPr>
                <w:sz w:val="20"/>
                <w:szCs w:val="20"/>
              </w:rPr>
            </w:pPr>
            <w:r w:rsidRPr="00FB7ABB">
              <w:rPr>
                <w:noProof/>
                <w:sz w:val="20"/>
                <w:szCs w:val="20"/>
              </w:rPr>
              <w:t>0.795</w:t>
            </w:r>
          </w:p>
        </w:tc>
      </w:tr>
      <w:tr w:rsidR="00891611" w:rsidRPr="002B630A" w:rsidTr="0027608A">
        <w:tc>
          <w:tcPr>
            <w:tcW w:w="3256" w:type="dxa"/>
            <w:tcBorders>
              <w:right w:val="single" w:sz="4" w:space="0" w:color="auto"/>
            </w:tcBorders>
            <w:shd w:val="clear" w:color="auto" w:fill="D9D9D9" w:themeFill="background1" w:themeFillShade="D9"/>
          </w:tcPr>
          <w:p w:rsidR="00891611" w:rsidRPr="001774BD" w:rsidRDefault="00891611" w:rsidP="00891611">
            <w:pP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1611" w:rsidRPr="00B25405" w:rsidRDefault="00891611" w:rsidP="00891611">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1611" w:rsidRPr="00B25405" w:rsidRDefault="00891611" w:rsidP="0089161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1611" w:rsidRPr="00B25405" w:rsidRDefault="00891611" w:rsidP="00891611">
            <w:pPr>
              <w:jc w:val="right"/>
              <w:rPr>
                <w:sz w:val="20"/>
                <w:szCs w:val="20"/>
              </w:rPr>
            </w:pPr>
          </w:p>
        </w:tc>
      </w:tr>
      <w:tr w:rsidR="00891611" w:rsidRPr="002B630A" w:rsidTr="0027608A">
        <w:tc>
          <w:tcPr>
            <w:tcW w:w="3256" w:type="dxa"/>
            <w:tcBorders>
              <w:right w:val="single" w:sz="4" w:space="0" w:color="auto"/>
            </w:tcBorders>
            <w:shd w:val="clear" w:color="auto" w:fill="auto"/>
          </w:tcPr>
          <w:p w:rsidR="00891611" w:rsidRPr="00E43B74" w:rsidRDefault="00891611" w:rsidP="00891611">
            <w:pPr>
              <w:rPr>
                <w:sz w:val="20"/>
                <w:szCs w:val="20"/>
              </w:rPr>
            </w:pPr>
            <w:r w:rsidRPr="00E43B74">
              <w:rPr>
                <w:sz w:val="20"/>
                <w:szCs w:val="20"/>
              </w:rPr>
              <w:t>August 15 monitoring position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1611" w:rsidRPr="00B25405" w:rsidRDefault="00891611" w:rsidP="00891611">
            <w:pPr>
              <w:jc w:val="right"/>
              <w:rPr>
                <w:sz w:val="20"/>
                <w:szCs w:val="20"/>
              </w:rPr>
            </w:pPr>
            <w:r w:rsidRPr="00FB7ABB">
              <w:rPr>
                <w:noProof/>
                <w:sz w:val="20"/>
                <w:szCs w:val="20"/>
              </w:rPr>
              <w:t>-0.187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1611" w:rsidRPr="00B25405" w:rsidRDefault="00891611" w:rsidP="0089161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91611" w:rsidRPr="00B25405" w:rsidRDefault="00891611" w:rsidP="00891611">
            <w:pPr>
              <w:jc w:val="right"/>
              <w:rPr>
                <w:sz w:val="20"/>
                <w:szCs w:val="20"/>
              </w:rPr>
            </w:pPr>
          </w:p>
        </w:tc>
      </w:tr>
      <w:tr w:rsidR="00891611" w:rsidRPr="002B630A" w:rsidTr="0027608A">
        <w:tc>
          <w:tcPr>
            <w:tcW w:w="3256" w:type="dxa"/>
            <w:tcBorders>
              <w:right w:val="single" w:sz="4" w:space="0" w:color="auto"/>
            </w:tcBorders>
          </w:tcPr>
          <w:p w:rsidR="00891611" w:rsidRPr="00EA1D7C" w:rsidRDefault="00891611" w:rsidP="00891611">
            <w:pPr>
              <w:rPr>
                <w:sz w:val="20"/>
                <w:szCs w:val="20"/>
              </w:rPr>
            </w:pPr>
            <w:r w:rsidRPr="00EA1D7C">
              <w:rPr>
                <w:sz w:val="20"/>
                <w:szCs w:val="20"/>
              </w:rPr>
              <w:t>Demand variations</w:t>
            </w:r>
            <w:r>
              <w:rPr>
                <w:sz w:val="20"/>
                <w:szCs w:val="20"/>
              </w:rPr>
              <w:t xml:space="preserve"> (cumulative)</w:t>
            </w:r>
          </w:p>
        </w:tc>
        <w:tc>
          <w:tcPr>
            <w:tcW w:w="1842"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r w:rsidRPr="00FB7ABB">
              <w:rPr>
                <w:noProof/>
                <w:sz w:val="20"/>
                <w:szCs w:val="20"/>
              </w:rPr>
              <w:t>0.000</w:t>
            </w:r>
          </w:p>
        </w:tc>
      </w:tr>
      <w:tr w:rsidR="00891611" w:rsidRPr="002B630A" w:rsidTr="0027608A">
        <w:tc>
          <w:tcPr>
            <w:tcW w:w="3256" w:type="dxa"/>
            <w:tcBorders>
              <w:right w:val="single" w:sz="4" w:space="0" w:color="auto"/>
            </w:tcBorders>
          </w:tcPr>
          <w:p w:rsidR="00891611" w:rsidRPr="00EA1D7C" w:rsidRDefault="00891611" w:rsidP="00891611">
            <w:pPr>
              <w:rPr>
                <w:sz w:val="20"/>
                <w:szCs w:val="20"/>
              </w:rPr>
            </w:pPr>
            <w:r>
              <w:rPr>
                <w:sz w:val="20"/>
                <w:szCs w:val="20"/>
              </w:rPr>
              <w:t>Price variations (cumulative)</w:t>
            </w:r>
          </w:p>
        </w:tc>
        <w:tc>
          <w:tcPr>
            <w:tcW w:w="1842"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r w:rsidRPr="00FB7ABB">
              <w:rPr>
                <w:noProof/>
                <w:sz w:val="20"/>
                <w:szCs w:val="20"/>
              </w:rPr>
              <w:t>0.000</w:t>
            </w:r>
          </w:p>
        </w:tc>
      </w:tr>
      <w:tr w:rsidR="00891611" w:rsidRPr="002B630A" w:rsidTr="0027608A">
        <w:tc>
          <w:tcPr>
            <w:tcW w:w="3256" w:type="dxa"/>
            <w:shd w:val="clear" w:color="auto" w:fill="auto"/>
          </w:tcPr>
          <w:p w:rsidR="00891611" w:rsidRPr="004D588F" w:rsidRDefault="00891611" w:rsidP="00891611">
            <w:pPr>
              <w:rPr>
                <w:sz w:val="20"/>
                <w:szCs w:val="20"/>
              </w:rPr>
            </w:pPr>
            <w:r>
              <w:rPr>
                <w:sz w:val="20"/>
                <w:szCs w:val="20"/>
              </w:rPr>
              <w:t>Undeliverable savings (cumulative)</w:t>
            </w:r>
          </w:p>
        </w:tc>
        <w:tc>
          <w:tcPr>
            <w:tcW w:w="1842" w:type="dxa"/>
            <w:shd w:val="clear" w:color="auto" w:fill="auto"/>
          </w:tcPr>
          <w:p w:rsidR="00891611" w:rsidRPr="00C844FA" w:rsidRDefault="00891611" w:rsidP="00891611">
            <w:pPr>
              <w:jc w:val="right"/>
              <w:rPr>
                <w:sz w:val="20"/>
                <w:szCs w:val="20"/>
              </w:rPr>
            </w:pPr>
            <w:r w:rsidRPr="00FB7ABB">
              <w:rPr>
                <w:noProof/>
                <w:sz w:val="20"/>
                <w:szCs w:val="20"/>
              </w:rPr>
              <w:t>0.000</w:t>
            </w:r>
          </w:p>
        </w:tc>
        <w:tc>
          <w:tcPr>
            <w:tcW w:w="1985" w:type="dxa"/>
            <w:shd w:val="clear" w:color="auto" w:fill="auto"/>
          </w:tcPr>
          <w:p w:rsidR="00891611" w:rsidRPr="00C844FA" w:rsidRDefault="00891611" w:rsidP="00891611">
            <w:pPr>
              <w:jc w:val="right"/>
              <w:rPr>
                <w:sz w:val="20"/>
                <w:szCs w:val="20"/>
              </w:rPr>
            </w:pPr>
            <w:r w:rsidRPr="00FB7ABB">
              <w:rPr>
                <w:noProof/>
                <w:sz w:val="20"/>
                <w:szCs w:val="20"/>
              </w:rPr>
              <w:t>0.000</w:t>
            </w:r>
          </w:p>
        </w:tc>
        <w:tc>
          <w:tcPr>
            <w:tcW w:w="2126" w:type="dxa"/>
            <w:shd w:val="clear" w:color="auto" w:fill="auto"/>
          </w:tcPr>
          <w:p w:rsidR="00891611" w:rsidRPr="00C844FA" w:rsidRDefault="00891611" w:rsidP="00891611">
            <w:pPr>
              <w:jc w:val="right"/>
              <w:rPr>
                <w:sz w:val="20"/>
                <w:szCs w:val="20"/>
              </w:rPr>
            </w:pPr>
            <w:r w:rsidRPr="00FB7ABB">
              <w:rPr>
                <w:noProof/>
                <w:sz w:val="20"/>
                <w:szCs w:val="20"/>
              </w:rPr>
              <w:t>0.000</w:t>
            </w:r>
          </w:p>
        </w:tc>
      </w:tr>
      <w:tr w:rsidR="00891611" w:rsidRPr="002B630A" w:rsidTr="0027608A">
        <w:tc>
          <w:tcPr>
            <w:tcW w:w="3256" w:type="dxa"/>
            <w:shd w:val="clear" w:color="auto" w:fill="auto"/>
          </w:tcPr>
          <w:p w:rsidR="00891611" w:rsidRDefault="00891611" w:rsidP="00891611">
            <w:pPr>
              <w:rPr>
                <w:sz w:val="20"/>
                <w:szCs w:val="20"/>
              </w:rPr>
            </w:pPr>
            <w:r>
              <w:rPr>
                <w:sz w:val="20"/>
                <w:szCs w:val="20"/>
              </w:rPr>
              <w:t>Loss of grant (cumulative)</w:t>
            </w:r>
          </w:p>
        </w:tc>
        <w:tc>
          <w:tcPr>
            <w:tcW w:w="1842" w:type="dxa"/>
            <w:shd w:val="clear" w:color="auto" w:fill="auto"/>
          </w:tcPr>
          <w:p w:rsidR="00891611" w:rsidRPr="00C844FA" w:rsidRDefault="00891611" w:rsidP="00891611">
            <w:pPr>
              <w:jc w:val="right"/>
              <w:rPr>
                <w:sz w:val="20"/>
                <w:szCs w:val="20"/>
              </w:rPr>
            </w:pPr>
            <w:r w:rsidRPr="00FB7ABB">
              <w:rPr>
                <w:noProof/>
                <w:sz w:val="20"/>
                <w:szCs w:val="20"/>
              </w:rPr>
              <w:t>0.000</w:t>
            </w:r>
          </w:p>
        </w:tc>
        <w:tc>
          <w:tcPr>
            <w:tcW w:w="1985" w:type="dxa"/>
            <w:shd w:val="clear" w:color="auto" w:fill="auto"/>
          </w:tcPr>
          <w:p w:rsidR="00891611" w:rsidRPr="00C844FA" w:rsidRDefault="00891611" w:rsidP="00891611">
            <w:pPr>
              <w:jc w:val="right"/>
              <w:rPr>
                <w:sz w:val="20"/>
                <w:szCs w:val="20"/>
              </w:rPr>
            </w:pPr>
            <w:r w:rsidRPr="00FB7ABB">
              <w:rPr>
                <w:noProof/>
                <w:sz w:val="20"/>
                <w:szCs w:val="20"/>
              </w:rPr>
              <w:t>0.000</w:t>
            </w:r>
          </w:p>
        </w:tc>
        <w:tc>
          <w:tcPr>
            <w:tcW w:w="2126" w:type="dxa"/>
            <w:shd w:val="clear" w:color="auto" w:fill="auto"/>
          </w:tcPr>
          <w:p w:rsidR="00891611" w:rsidRPr="00C844FA" w:rsidRDefault="00891611" w:rsidP="00891611">
            <w:pPr>
              <w:jc w:val="right"/>
              <w:rPr>
                <w:sz w:val="20"/>
                <w:szCs w:val="20"/>
              </w:rPr>
            </w:pPr>
            <w:r w:rsidRPr="00FB7ABB">
              <w:rPr>
                <w:noProof/>
                <w:sz w:val="20"/>
                <w:szCs w:val="20"/>
              </w:rPr>
              <w:t>0.000</w:t>
            </w:r>
          </w:p>
        </w:tc>
      </w:tr>
      <w:tr w:rsidR="00891611" w:rsidRPr="002B630A" w:rsidTr="0027608A">
        <w:tc>
          <w:tcPr>
            <w:tcW w:w="3256" w:type="dxa"/>
            <w:tcBorders>
              <w:bottom w:val="single" w:sz="4" w:space="0" w:color="auto"/>
            </w:tcBorders>
            <w:shd w:val="clear" w:color="auto" w:fill="BFBFBF" w:themeFill="background1" w:themeFillShade="BF"/>
          </w:tcPr>
          <w:p w:rsidR="00891611" w:rsidRPr="00EA1D7C" w:rsidRDefault="00891611" w:rsidP="00891611">
            <w:pPr>
              <w:rPr>
                <w:b/>
                <w:sz w:val="20"/>
                <w:szCs w:val="20"/>
              </w:rPr>
            </w:pPr>
            <w:r>
              <w:rPr>
                <w:b/>
                <w:sz w:val="20"/>
                <w:szCs w:val="20"/>
              </w:rPr>
              <w:t>Revised Resource Requirement</w:t>
            </w:r>
          </w:p>
        </w:tc>
        <w:tc>
          <w:tcPr>
            <w:tcW w:w="1842" w:type="dxa"/>
            <w:tcBorders>
              <w:bottom w:val="single" w:sz="4" w:space="0" w:color="auto"/>
            </w:tcBorders>
            <w:shd w:val="clear" w:color="auto" w:fill="BFBFBF" w:themeFill="background1" w:themeFillShade="BF"/>
          </w:tcPr>
          <w:p w:rsidR="00891611" w:rsidRPr="00F32F81" w:rsidRDefault="00891611" w:rsidP="00891611">
            <w:pPr>
              <w:jc w:val="right"/>
              <w:rPr>
                <w:b/>
                <w:sz w:val="20"/>
                <w:szCs w:val="20"/>
              </w:rPr>
            </w:pPr>
            <w:r w:rsidRPr="00FB7ABB">
              <w:rPr>
                <w:b/>
                <w:noProof/>
                <w:sz w:val="20"/>
                <w:szCs w:val="20"/>
              </w:rPr>
              <w:t>0.611</w:t>
            </w:r>
          </w:p>
        </w:tc>
        <w:tc>
          <w:tcPr>
            <w:tcW w:w="1985" w:type="dxa"/>
            <w:tcBorders>
              <w:bottom w:val="single" w:sz="4" w:space="0" w:color="auto"/>
            </w:tcBorders>
            <w:shd w:val="clear" w:color="auto" w:fill="BFBFBF" w:themeFill="background1" w:themeFillShade="BF"/>
          </w:tcPr>
          <w:p w:rsidR="00891611" w:rsidRPr="00F32F81" w:rsidRDefault="00891611" w:rsidP="00891611">
            <w:pPr>
              <w:jc w:val="right"/>
              <w:rPr>
                <w:b/>
                <w:sz w:val="20"/>
                <w:szCs w:val="20"/>
              </w:rPr>
            </w:pPr>
            <w:r w:rsidRPr="00FB7ABB">
              <w:rPr>
                <w:b/>
                <w:noProof/>
                <w:sz w:val="20"/>
                <w:szCs w:val="20"/>
              </w:rPr>
              <w:t>0.801</w:t>
            </w:r>
          </w:p>
        </w:tc>
        <w:tc>
          <w:tcPr>
            <w:tcW w:w="2126" w:type="dxa"/>
            <w:tcBorders>
              <w:bottom w:val="single" w:sz="4" w:space="0" w:color="auto"/>
            </w:tcBorders>
            <w:shd w:val="clear" w:color="auto" w:fill="BFBFBF" w:themeFill="background1" w:themeFillShade="BF"/>
          </w:tcPr>
          <w:p w:rsidR="00891611" w:rsidRPr="00F32F81" w:rsidRDefault="00891611" w:rsidP="00891611">
            <w:pPr>
              <w:jc w:val="right"/>
              <w:rPr>
                <w:b/>
                <w:sz w:val="20"/>
                <w:szCs w:val="20"/>
              </w:rPr>
            </w:pPr>
            <w:r w:rsidRPr="00FB7ABB">
              <w:rPr>
                <w:b/>
                <w:noProof/>
                <w:sz w:val="20"/>
                <w:szCs w:val="20"/>
              </w:rPr>
              <w:t>0.795</w:t>
            </w:r>
          </w:p>
        </w:tc>
      </w:tr>
      <w:tr w:rsidR="00891611" w:rsidRPr="002B630A" w:rsidTr="0027608A">
        <w:tc>
          <w:tcPr>
            <w:tcW w:w="3256" w:type="dxa"/>
            <w:tcBorders>
              <w:bottom w:val="single" w:sz="4" w:space="0" w:color="auto"/>
            </w:tcBorders>
            <w:shd w:val="clear" w:color="auto" w:fill="auto"/>
          </w:tcPr>
          <w:p w:rsidR="00891611" w:rsidRPr="00F26FCF" w:rsidRDefault="00891611" w:rsidP="00891611">
            <w:pPr>
              <w:rPr>
                <w:sz w:val="20"/>
                <w:szCs w:val="20"/>
              </w:rPr>
            </w:pPr>
            <w:r>
              <w:rPr>
                <w:sz w:val="20"/>
                <w:szCs w:val="20"/>
              </w:rPr>
              <w:t>Additional savings target for approval (cumulative)</w:t>
            </w:r>
          </w:p>
        </w:tc>
        <w:tc>
          <w:tcPr>
            <w:tcW w:w="1842" w:type="dxa"/>
            <w:tcBorders>
              <w:bottom w:val="single" w:sz="4" w:space="0" w:color="auto"/>
            </w:tcBorders>
            <w:shd w:val="clear" w:color="auto" w:fill="auto"/>
          </w:tcPr>
          <w:p w:rsidR="00891611" w:rsidRPr="00B25405" w:rsidRDefault="00891611" w:rsidP="00891611">
            <w:pPr>
              <w:jc w:val="right"/>
              <w:rPr>
                <w:sz w:val="20"/>
                <w:szCs w:val="20"/>
              </w:rPr>
            </w:pPr>
            <w:r w:rsidRPr="00FB7ABB">
              <w:rPr>
                <w:noProof/>
                <w:sz w:val="20"/>
                <w:szCs w:val="20"/>
              </w:rPr>
              <w:t>0.000</w:t>
            </w:r>
          </w:p>
        </w:tc>
        <w:tc>
          <w:tcPr>
            <w:tcW w:w="1985" w:type="dxa"/>
            <w:tcBorders>
              <w:bottom w:val="single" w:sz="4" w:space="0" w:color="auto"/>
            </w:tcBorders>
            <w:shd w:val="clear" w:color="auto" w:fill="auto"/>
          </w:tcPr>
          <w:p w:rsidR="00891611" w:rsidRPr="00B25405" w:rsidRDefault="00891611" w:rsidP="00891611">
            <w:pPr>
              <w:jc w:val="right"/>
              <w:rPr>
                <w:sz w:val="20"/>
                <w:szCs w:val="20"/>
              </w:rPr>
            </w:pPr>
            <w:r w:rsidRPr="00FB7ABB">
              <w:rPr>
                <w:noProof/>
                <w:sz w:val="20"/>
                <w:szCs w:val="20"/>
              </w:rPr>
              <w:t>-0.064</w:t>
            </w:r>
          </w:p>
        </w:tc>
        <w:tc>
          <w:tcPr>
            <w:tcW w:w="2126" w:type="dxa"/>
            <w:tcBorders>
              <w:bottom w:val="single" w:sz="4" w:space="0" w:color="auto"/>
            </w:tcBorders>
            <w:shd w:val="clear" w:color="auto" w:fill="auto"/>
          </w:tcPr>
          <w:p w:rsidR="00891611" w:rsidRPr="00B25405" w:rsidRDefault="00891611" w:rsidP="00891611">
            <w:pPr>
              <w:jc w:val="right"/>
              <w:rPr>
                <w:sz w:val="20"/>
                <w:szCs w:val="20"/>
              </w:rPr>
            </w:pPr>
            <w:r w:rsidRPr="00FB7ABB">
              <w:rPr>
                <w:noProof/>
                <w:sz w:val="20"/>
                <w:szCs w:val="20"/>
              </w:rPr>
              <w:t>-0.064</w:t>
            </w:r>
          </w:p>
        </w:tc>
      </w:tr>
      <w:tr w:rsidR="00891611" w:rsidRPr="002B630A" w:rsidTr="0027608A">
        <w:tc>
          <w:tcPr>
            <w:tcW w:w="3256" w:type="dxa"/>
            <w:tcBorders>
              <w:bottom w:val="single" w:sz="4" w:space="0" w:color="auto"/>
            </w:tcBorders>
            <w:shd w:val="clear" w:color="auto" w:fill="AEAAAA" w:themeFill="background2" w:themeFillShade="BF"/>
          </w:tcPr>
          <w:p w:rsidR="00891611" w:rsidRPr="00F26FCF" w:rsidRDefault="00891611" w:rsidP="00891611">
            <w:pPr>
              <w:rPr>
                <w:b/>
                <w:sz w:val="20"/>
                <w:szCs w:val="20"/>
              </w:rPr>
            </w:pPr>
            <w:r w:rsidRPr="00F26FCF">
              <w:rPr>
                <w:b/>
                <w:sz w:val="20"/>
                <w:szCs w:val="20"/>
              </w:rPr>
              <w:t>Revised proposed budget</w:t>
            </w:r>
          </w:p>
        </w:tc>
        <w:tc>
          <w:tcPr>
            <w:tcW w:w="1842" w:type="dxa"/>
            <w:tcBorders>
              <w:bottom w:val="single" w:sz="4" w:space="0" w:color="auto"/>
            </w:tcBorders>
            <w:shd w:val="clear" w:color="auto" w:fill="AEAAAA" w:themeFill="background2" w:themeFillShade="BF"/>
          </w:tcPr>
          <w:p w:rsidR="00891611" w:rsidRPr="00F32F81" w:rsidRDefault="00891611" w:rsidP="00891611">
            <w:pPr>
              <w:jc w:val="right"/>
              <w:rPr>
                <w:b/>
                <w:sz w:val="20"/>
                <w:szCs w:val="20"/>
              </w:rPr>
            </w:pPr>
            <w:r w:rsidRPr="00FB7ABB">
              <w:rPr>
                <w:b/>
                <w:noProof/>
                <w:sz w:val="20"/>
                <w:szCs w:val="20"/>
              </w:rPr>
              <w:t>0.611</w:t>
            </w:r>
          </w:p>
        </w:tc>
        <w:tc>
          <w:tcPr>
            <w:tcW w:w="1985" w:type="dxa"/>
            <w:tcBorders>
              <w:bottom w:val="single" w:sz="4" w:space="0" w:color="auto"/>
            </w:tcBorders>
            <w:shd w:val="clear" w:color="auto" w:fill="AEAAAA" w:themeFill="background2" w:themeFillShade="BF"/>
          </w:tcPr>
          <w:p w:rsidR="00891611" w:rsidRPr="00F32F81" w:rsidRDefault="00891611" w:rsidP="00891611">
            <w:pPr>
              <w:jc w:val="right"/>
              <w:rPr>
                <w:b/>
                <w:sz w:val="20"/>
                <w:szCs w:val="20"/>
              </w:rPr>
            </w:pPr>
            <w:r w:rsidRPr="00FB7ABB">
              <w:rPr>
                <w:b/>
                <w:noProof/>
                <w:sz w:val="20"/>
                <w:szCs w:val="20"/>
              </w:rPr>
              <w:t>0.737</w:t>
            </w:r>
          </w:p>
        </w:tc>
        <w:tc>
          <w:tcPr>
            <w:tcW w:w="2126" w:type="dxa"/>
            <w:tcBorders>
              <w:bottom w:val="single" w:sz="4" w:space="0" w:color="auto"/>
            </w:tcBorders>
            <w:shd w:val="clear" w:color="auto" w:fill="AEAAAA" w:themeFill="background2" w:themeFillShade="BF"/>
          </w:tcPr>
          <w:p w:rsidR="00891611" w:rsidRPr="00F32F81" w:rsidRDefault="00891611" w:rsidP="00891611">
            <w:pPr>
              <w:jc w:val="right"/>
              <w:rPr>
                <w:b/>
                <w:sz w:val="20"/>
                <w:szCs w:val="20"/>
              </w:rPr>
            </w:pPr>
            <w:r w:rsidRPr="00FB7ABB">
              <w:rPr>
                <w:b/>
                <w:noProof/>
                <w:sz w:val="20"/>
                <w:szCs w:val="20"/>
              </w:rPr>
              <w:t>0.731</w:t>
            </w:r>
          </w:p>
        </w:tc>
      </w:tr>
      <w:tr w:rsidR="00891611" w:rsidRPr="002B630A" w:rsidTr="0027608A">
        <w:tc>
          <w:tcPr>
            <w:tcW w:w="3256" w:type="dxa"/>
            <w:shd w:val="clear" w:color="auto" w:fill="auto"/>
          </w:tcPr>
          <w:p w:rsidR="00891611" w:rsidRPr="00B25405" w:rsidRDefault="00891611" w:rsidP="00891611">
            <w:pPr>
              <w:rPr>
                <w:sz w:val="20"/>
                <w:szCs w:val="20"/>
              </w:rPr>
            </w:pPr>
            <w:r>
              <w:rPr>
                <w:sz w:val="20"/>
                <w:szCs w:val="20"/>
              </w:rPr>
              <w:t>Proposed risk</w:t>
            </w:r>
            <w:r w:rsidRPr="00B25405">
              <w:rPr>
                <w:sz w:val="20"/>
                <w:szCs w:val="20"/>
              </w:rPr>
              <w:t xml:space="preserve"> reserve provision</w:t>
            </w:r>
            <w:r w:rsidR="00D82B6E">
              <w:rPr>
                <w:sz w:val="20"/>
                <w:szCs w:val="20"/>
              </w:rPr>
              <w:t xml:space="preserve"> (discrete year)</w:t>
            </w:r>
          </w:p>
        </w:tc>
        <w:tc>
          <w:tcPr>
            <w:tcW w:w="1842" w:type="dxa"/>
            <w:shd w:val="clear" w:color="auto" w:fill="auto"/>
          </w:tcPr>
          <w:p w:rsidR="00891611" w:rsidRPr="00B25405" w:rsidRDefault="00891611" w:rsidP="00891611">
            <w:pPr>
              <w:jc w:val="right"/>
              <w:rPr>
                <w:sz w:val="20"/>
                <w:szCs w:val="20"/>
              </w:rPr>
            </w:pPr>
          </w:p>
        </w:tc>
        <w:tc>
          <w:tcPr>
            <w:tcW w:w="1985" w:type="dxa"/>
            <w:shd w:val="clear" w:color="auto" w:fill="auto"/>
          </w:tcPr>
          <w:p w:rsidR="00891611" w:rsidRPr="00B25405" w:rsidRDefault="00891611" w:rsidP="00891611">
            <w:pPr>
              <w:jc w:val="right"/>
              <w:rPr>
                <w:sz w:val="20"/>
                <w:szCs w:val="20"/>
              </w:rPr>
            </w:pPr>
            <w:r w:rsidRPr="00FB7ABB">
              <w:rPr>
                <w:noProof/>
                <w:sz w:val="20"/>
                <w:szCs w:val="20"/>
              </w:rPr>
              <w:t>0.146</w:t>
            </w:r>
          </w:p>
        </w:tc>
        <w:tc>
          <w:tcPr>
            <w:tcW w:w="2126" w:type="dxa"/>
            <w:shd w:val="clear" w:color="auto" w:fill="auto"/>
          </w:tcPr>
          <w:p w:rsidR="00891611" w:rsidRPr="00B25405" w:rsidRDefault="00891611" w:rsidP="00891611">
            <w:pPr>
              <w:jc w:val="right"/>
              <w:rPr>
                <w:sz w:val="20"/>
                <w:szCs w:val="20"/>
              </w:rPr>
            </w:pPr>
            <w:r w:rsidRPr="00FB7ABB">
              <w:rPr>
                <w:noProof/>
                <w:sz w:val="20"/>
                <w:szCs w:val="20"/>
              </w:rPr>
              <w:t>0.146</w:t>
            </w:r>
          </w:p>
        </w:tc>
      </w:tr>
      <w:tr w:rsidR="00891611" w:rsidRPr="002B630A" w:rsidTr="009E2D95">
        <w:tc>
          <w:tcPr>
            <w:tcW w:w="3256" w:type="dxa"/>
          </w:tcPr>
          <w:p w:rsidR="00891611" w:rsidRPr="002B630A" w:rsidRDefault="00891611" w:rsidP="00891611">
            <w:pPr>
              <w:rPr>
                <w:sz w:val="20"/>
                <w:szCs w:val="20"/>
              </w:rPr>
            </w:pPr>
            <w:r w:rsidRPr="002B630A">
              <w:rPr>
                <w:sz w:val="20"/>
                <w:szCs w:val="20"/>
              </w:rPr>
              <w:t xml:space="preserve">Policy Decisions needed to stop the service </w:t>
            </w:r>
          </w:p>
        </w:tc>
        <w:tc>
          <w:tcPr>
            <w:tcW w:w="5953" w:type="dxa"/>
            <w:gridSpan w:val="3"/>
          </w:tcPr>
          <w:p w:rsidR="00891611" w:rsidRDefault="00891611" w:rsidP="00891611">
            <w:pPr>
              <w:rPr>
                <w:sz w:val="20"/>
                <w:szCs w:val="20"/>
              </w:rPr>
            </w:pPr>
            <w:r>
              <w:rPr>
                <w:sz w:val="20"/>
                <w:szCs w:val="20"/>
              </w:rPr>
              <w:t>Approval to reduce the Business Partner element of the service, by April 2018, by 25% to reflect a smaller organisation from that date.</w:t>
            </w:r>
          </w:p>
          <w:p w:rsidR="00891611" w:rsidRDefault="00891611" w:rsidP="00891611">
            <w:pPr>
              <w:rPr>
                <w:sz w:val="20"/>
                <w:szCs w:val="20"/>
              </w:rPr>
            </w:pPr>
          </w:p>
          <w:p w:rsidR="00891611" w:rsidRDefault="00891611" w:rsidP="00891611">
            <w:pPr>
              <w:rPr>
                <w:sz w:val="20"/>
                <w:szCs w:val="20"/>
              </w:rPr>
            </w:pPr>
            <w:r>
              <w:rPr>
                <w:sz w:val="20"/>
                <w:szCs w:val="20"/>
              </w:rPr>
              <w:t>Approval to fund the creation of an Establishment team from 1</w:t>
            </w:r>
            <w:r w:rsidRPr="00314F83">
              <w:rPr>
                <w:sz w:val="20"/>
                <w:szCs w:val="20"/>
                <w:vertAlign w:val="superscript"/>
              </w:rPr>
              <w:t>st</w:t>
            </w:r>
            <w:r>
              <w:rPr>
                <w:sz w:val="20"/>
                <w:szCs w:val="20"/>
              </w:rPr>
              <w:t xml:space="preserve"> December 2015.</w:t>
            </w:r>
          </w:p>
          <w:p w:rsidR="00891611" w:rsidRDefault="00891611" w:rsidP="00891611">
            <w:pPr>
              <w:rPr>
                <w:sz w:val="20"/>
                <w:szCs w:val="20"/>
              </w:rPr>
            </w:pPr>
          </w:p>
          <w:p w:rsidR="00891611" w:rsidRPr="007E6BA9" w:rsidRDefault="00891611" w:rsidP="00891611">
            <w:pPr>
              <w:rPr>
                <w:sz w:val="20"/>
                <w:szCs w:val="20"/>
              </w:rPr>
            </w:pPr>
            <w:r>
              <w:rPr>
                <w:sz w:val="20"/>
                <w:szCs w:val="20"/>
              </w:rPr>
              <w:t>Approval to reduce the revenue budget by £129k (net saving from the proposals) in 2016/17 and fund from reserves in 2016/17 and 2017/18, during the transition.</w:t>
            </w:r>
            <w:r w:rsidRPr="007E6BA9">
              <w:rPr>
                <w:sz w:val="20"/>
                <w:szCs w:val="20"/>
              </w:rPr>
              <w:br/>
            </w:r>
          </w:p>
        </w:tc>
      </w:tr>
      <w:tr w:rsidR="00891611" w:rsidRPr="002B630A" w:rsidTr="009E2D95">
        <w:tc>
          <w:tcPr>
            <w:tcW w:w="3256" w:type="dxa"/>
          </w:tcPr>
          <w:p w:rsidR="00891611" w:rsidRPr="002B630A" w:rsidRDefault="00891611" w:rsidP="00891611">
            <w:pPr>
              <w:rPr>
                <w:sz w:val="20"/>
                <w:szCs w:val="20"/>
              </w:rPr>
            </w:pPr>
            <w:r w:rsidRPr="002B630A">
              <w:rPr>
                <w:sz w:val="20"/>
                <w:szCs w:val="20"/>
              </w:rPr>
              <w:t xml:space="preserve">Impact upon service </w:t>
            </w:r>
          </w:p>
        </w:tc>
        <w:tc>
          <w:tcPr>
            <w:tcW w:w="5953" w:type="dxa"/>
            <w:gridSpan w:val="3"/>
          </w:tcPr>
          <w:p w:rsidR="00891611" w:rsidRDefault="00891611" w:rsidP="00891611">
            <w:pPr>
              <w:rPr>
                <w:sz w:val="20"/>
                <w:szCs w:val="20"/>
              </w:rPr>
            </w:pPr>
            <w:r>
              <w:rPr>
                <w:sz w:val="20"/>
                <w:szCs w:val="20"/>
              </w:rPr>
              <w:t>Business Partner element of s</w:t>
            </w:r>
            <w:r w:rsidRPr="007E6BA9">
              <w:rPr>
                <w:sz w:val="20"/>
                <w:szCs w:val="20"/>
              </w:rPr>
              <w:t xml:space="preserve">ervice will be reduced by 25% in line with </w:t>
            </w:r>
            <w:r>
              <w:rPr>
                <w:sz w:val="20"/>
                <w:szCs w:val="20"/>
              </w:rPr>
              <w:t>the downsizing of the organisation (3 FTEs). From</w:t>
            </w:r>
            <w:r w:rsidRPr="007E6BA9">
              <w:rPr>
                <w:sz w:val="20"/>
                <w:szCs w:val="20"/>
              </w:rPr>
              <w:t xml:space="preserve"> 1</w:t>
            </w:r>
            <w:r w:rsidRPr="007E6BA9">
              <w:rPr>
                <w:sz w:val="20"/>
                <w:szCs w:val="20"/>
                <w:vertAlign w:val="superscript"/>
              </w:rPr>
              <w:t>st</w:t>
            </w:r>
            <w:r w:rsidRPr="007E6BA9">
              <w:rPr>
                <w:sz w:val="20"/>
                <w:szCs w:val="20"/>
              </w:rPr>
              <w:t xml:space="preserve"> April </w:t>
            </w:r>
            <w:r>
              <w:rPr>
                <w:sz w:val="20"/>
                <w:szCs w:val="20"/>
              </w:rPr>
              <w:t>2018 the service will be delivered</w:t>
            </w:r>
            <w:r w:rsidRPr="007E6BA9">
              <w:rPr>
                <w:sz w:val="20"/>
                <w:szCs w:val="20"/>
              </w:rPr>
              <w:t xml:space="preserve"> on a 'risk management' basis in respect of statutory</w:t>
            </w:r>
            <w:r>
              <w:rPr>
                <w:sz w:val="20"/>
                <w:szCs w:val="20"/>
              </w:rPr>
              <w:t xml:space="preserve"> HR</w:t>
            </w:r>
            <w:r w:rsidRPr="007E6BA9">
              <w:rPr>
                <w:sz w:val="20"/>
                <w:szCs w:val="20"/>
              </w:rPr>
              <w:t xml:space="preserve"> functions</w:t>
            </w:r>
            <w:r>
              <w:rPr>
                <w:sz w:val="20"/>
                <w:szCs w:val="20"/>
              </w:rPr>
              <w:t>.</w:t>
            </w:r>
          </w:p>
          <w:p w:rsidR="00891611" w:rsidRDefault="00891611" w:rsidP="00891611">
            <w:pPr>
              <w:rPr>
                <w:sz w:val="20"/>
                <w:szCs w:val="20"/>
              </w:rPr>
            </w:pPr>
          </w:p>
          <w:p w:rsidR="00891611" w:rsidRDefault="00891611" w:rsidP="00891611">
            <w:pPr>
              <w:rPr>
                <w:sz w:val="20"/>
                <w:szCs w:val="20"/>
              </w:rPr>
            </w:pPr>
            <w:r>
              <w:rPr>
                <w:sz w:val="20"/>
                <w:szCs w:val="20"/>
              </w:rPr>
              <w:t>An establishment team will be created from 1</w:t>
            </w:r>
            <w:r w:rsidRPr="00314F83">
              <w:rPr>
                <w:sz w:val="20"/>
                <w:szCs w:val="20"/>
                <w:vertAlign w:val="superscript"/>
              </w:rPr>
              <w:t>st</w:t>
            </w:r>
            <w:r>
              <w:rPr>
                <w:sz w:val="20"/>
                <w:szCs w:val="20"/>
              </w:rPr>
              <w:t xml:space="preserve"> December 2015 to improve the effectiveness and efficiency of the council's workforce planning function during the council's transformation and beyond.</w:t>
            </w:r>
          </w:p>
          <w:p w:rsidR="00891611" w:rsidRPr="007E6BA9" w:rsidRDefault="00891611" w:rsidP="00891611">
            <w:pPr>
              <w:rPr>
                <w:sz w:val="20"/>
                <w:szCs w:val="20"/>
              </w:rPr>
            </w:pPr>
          </w:p>
        </w:tc>
      </w:tr>
      <w:tr w:rsidR="00891611" w:rsidRPr="002B630A" w:rsidTr="009E2D95">
        <w:tc>
          <w:tcPr>
            <w:tcW w:w="3256" w:type="dxa"/>
          </w:tcPr>
          <w:p w:rsidR="00891611" w:rsidRDefault="00891611" w:rsidP="00891611">
            <w:pPr>
              <w:rPr>
                <w:sz w:val="20"/>
                <w:szCs w:val="20"/>
              </w:rPr>
            </w:pPr>
            <w:r w:rsidRPr="002B630A">
              <w:rPr>
                <w:sz w:val="20"/>
                <w:szCs w:val="20"/>
              </w:rPr>
              <w:t>Actions needed to stop the service</w:t>
            </w:r>
            <w:r>
              <w:rPr>
                <w:sz w:val="20"/>
                <w:szCs w:val="20"/>
              </w:rPr>
              <w:t xml:space="preserve"> /</w:t>
            </w:r>
          </w:p>
          <w:p w:rsidR="00891611" w:rsidRPr="002B630A" w:rsidRDefault="00891611" w:rsidP="00891611">
            <w:pPr>
              <w:rPr>
                <w:sz w:val="20"/>
                <w:szCs w:val="20"/>
              </w:rPr>
            </w:pPr>
            <w:r>
              <w:rPr>
                <w:sz w:val="20"/>
                <w:szCs w:val="20"/>
              </w:rPr>
              <w:t>Timetable for cessation of service</w:t>
            </w:r>
          </w:p>
        </w:tc>
        <w:tc>
          <w:tcPr>
            <w:tcW w:w="5953" w:type="dxa"/>
            <w:gridSpan w:val="3"/>
          </w:tcPr>
          <w:p w:rsidR="00891611" w:rsidRDefault="00891611" w:rsidP="00891611">
            <w:pPr>
              <w:pStyle w:val="ListParagraph"/>
              <w:numPr>
                <w:ilvl w:val="0"/>
                <w:numId w:val="1"/>
              </w:numPr>
              <w:ind w:left="33" w:hanging="142"/>
              <w:rPr>
                <w:sz w:val="20"/>
                <w:szCs w:val="20"/>
              </w:rPr>
            </w:pPr>
            <w:r>
              <w:rPr>
                <w:sz w:val="20"/>
                <w:szCs w:val="20"/>
              </w:rPr>
              <w:t>Create new posts and appoint to the new Establishment Team by 31</w:t>
            </w:r>
            <w:r w:rsidRPr="00685646">
              <w:rPr>
                <w:sz w:val="20"/>
                <w:szCs w:val="20"/>
                <w:vertAlign w:val="superscript"/>
              </w:rPr>
              <w:t>st</w:t>
            </w:r>
            <w:r>
              <w:rPr>
                <w:sz w:val="20"/>
                <w:szCs w:val="20"/>
              </w:rPr>
              <w:t xml:space="preserve"> December 2015.</w:t>
            </w:r>
          </w:p>
          <w:p w:rsidR="00891611" w:rsidRDefault="00891611" w:rsidP="00891611">
            <w:pPr>
              <w:pStyle w:val="ListParagraph"/>
              <w:ind w:left="33"/>
              <w:rPr>
                <w:sz w:val="20"/>
                <w:szCs w:val="20"/>
              </w:rPr>
            </w:pPr>
          </w:p>
          <w:p w:rsidR="00891611" w:rsidRDefault="00891611" w:rsidP="00891611">
            <w:pPr>
              <w:pStyle w:val="ListParagraph"/>
              <w:numPr>
                <w:ilvl w:val="0"/>
                <w:numId w:val="1"/>
              </w:numPr>
              <w:ind w:left="33" w:hanging="142"/>
              <w:rPr>
                <w:sz w:val="20"/>
                <w:szCs w:val="20"/>
              </w:rPr>
            </w:pPr>
            <w:r>
              <w:rPr>
                <w:sz w:val="20"/>
                <w:szCs w:val="20"/>
              </w:rPr>
              <w:t>Consult on proposals/structure, July 2017 for appointment by 31</w:t>
            </w:r>
            <w:r w:rsidRPr="007C0E35">
              <w:rPr>
                <w:sz w:val="20"/>
                <w:szCs w:val="20"/>
                <w:vertAlign w:val="superscript"/>
              </w:rPr>
              <w:t>st</w:t>
            </w:r>
            <w:r>
              <w:rPr>
                <w:sz w:val="20"/>
                <w:szCs w:val="20"/>
              </w:rPr>
              <w:t xml:space="preserve"> March 2018.</w:t>
            </w:r>
          </w:p>
          <w:p w:rsidR="00891611" w:rsidRPr="007C0E35" w:rsidRDefault="00891611" w:rsidP="00891611">
            <w:pPr>
              <w:rPr>
                <w:sz w:val="20"/>
                <w:szCs w:val="20"/>
              </w:rPr>
            </w:pPr>
          </w:p>
          <w:p w:rsidR="00891611" w:rsidRPr="007C0E35" w:rsidRDefault="00891611" w:rsidP="00891611">
            <w:pPr>
              <w:pStyle w:val="ListParagraph"/>
              <w:numPr>
                <w:ilvl w:val="0"/>
                <w:numId w:val="1"/>
              </w:numPr>
              <w:ind w:left="33" w:hanging="142"/>
              <w:rPr>
                <w:sz w:val="20"/>
                <w:szCs w:val="20"/>
              </w:rPr>
            </w:pPr>
            <w:r w:rsidRPr="007C0E35">
              <w:rPr>
                <w:sz w:val="20"/>
                <w:szCs w:val="20"/>
              </w:rPr>
              <w:t>Statutory consultation process with Trades Unions with respect to potentia</w:t>
            </w:r>
            <w:r>
              <w:rPr>
                <w:sz w:val="20"/>
                <w:szCs w:val="20"/>
              </w:rPr>
              <w:t>l for redundancies, July 2017</w:t>
            </w:r>
            <w:r w:rsidRPr="007C0E35">
              <w:rPr>
                <w:sz w:val="20"/>
                <w:szCs w:val="20"/>
              </w:rPr>
              <w:t>.</w:t>
            </w:r>
          </w:p>
          <w:p w:rsidR="00891611" w:rsidRPr="00FF54A1" w:rsidRDefault="00891611" w:rsidP="00891611">
            <w:pPr>
              <w:ind w:left="-109"/>
              <w:rPr>
                <w:sz w:val="20"/>
                <w:szCs w:val="20"/>
              </w:rPr>
            </w:pPr>
            <w:r w:rsidRPr="007C0E35">
              <w:rPr>
                <w:sz w:val="20"/>
                <w:szCs w:val="20"/>
              </w:rPr>
              <w:t xml:space="preserve">  </w:t>
            </w:r>
          </w:p>
        </w:tc>
      </w:tr>
      <w:tr w:rsidR="00891611" w:rsidRPr="002B630A" w:rsidTr="009E2D95">
        <w:tc>
          <w:tcPr>
            <w:tcW w:w="3256" w:type="dxa"/>
          </w:tcPr>
          <w:p w:rsidR="00891611" w:rsidRPr="002B630A" w:rsidRDefault="00891611" w:rsidP="00891611">
            <w:pPr>
              <w:rPr>
                <w:sz w:val="20"/>
                <w:szCs w:val="20"/>
              </w:rPr>
            </w:pPr>
            <w:r>
              <w:rPr>
                <w:sz w:val="20"/>
                <w:szCs w:val="20"/>
              </w:rPr>
              <w:t>Equality Analysis</w:t>
            </w:r>
          </w:p>
        </w:tc>
        <w:tc>
          <w:tcPr>
            <w:tcW w:w="5953" w:type="dxa"/>
            <w:gridSpan w:val="3"/>
          </w:tcPr>
          <w:p w:rsidR="00891611" w:rsidRDefault="001F5666" w:rsidP="00891611">
            <w:pPr>
              <w:rPr>
                <w:sz w:val="20"/>
                <w:szCs w:val="20"/>
              </w:rPr>
            </w:pPr>
            <w:hyperlink r:id="rId6" w:history="1">
              <w:r>
                <w:rPr>
                  <w:rStyle w:val="Hyperlink"/>
                  <w:sz w:val="20"/>
                  <w:szCs w:val="20"/>
                </w:rPr>
                <w:t>Click here to view document</w:t>
              </w:r>
            </w:hyperlink>
            <w:bookmarkStart w:id="0" w:name="_GoBack"/>
            <w:bookmarkEnd w:id="0"/>
          </w:p>
          <w:p w:rsidR="00891611" w:rsidRPr="00E32D62" w:rsidRDefault="00891611" w:rsidP="00891611">
            <w:pPr>
              <w:tabs>
                <w:tab w:val="left" w:pos="3585"/>
              </w:tabs>
              <w:rPr>
                <w:sz w:val="20"/>
                <w:szCs w:val="20"/>
              </w:rPr>
            </w:pPr>
            <w:r>
              <w:rPr>
                <w:sz w:val="20"/>
                <w:szCs w:val="20"/>
              </w:rPr>
              <w:tab/>
            </w:r>
          </w:p>
        </w:tc>
      </w:tr>
    </w:tbl>
    <w:p w:rsidR="009C4647" w:rsidRDefault="009C4647" w:rsidP="00D62128"/>
    <w:p w:rsidR="004661F3" w:rsidRDefault="004661F3" w:rsidP="00D62128"/>
    <w:p w:rsidR="004661F3" w:rsidRDefault="004661F3" w:rsidP="00D62128"/>
    <w:p w:rsidR="00ED578E" w:rsidRPr="00750D25" w:rsidRDefault="00ED578E" w:rsidP="00FD4865">
      <w:pPr>
        <w:rPr>
          <w:b/>
          <w:color w:val="000000" w:themeColor="text1"/>
          <w:sz w:val="20"/>
          <w:szCs w:val="20"/>
        </w:rPr>
      </w:pPr>
      <w:r w:rsidRPr="00750D25">
        <w:rPr>
          <w:b/>
          <w:color w:val="000000" w:themeColor="text1"/>
          <w:sz w:val="20"/>
          <w:szCs w:val="20"/>
        </w:rPr>
        <w:lastRenderedPageBreak/>
        <w:t>Service description:</w:t>
      </w:r>
    </w:p>
    <w:p w:rsidR="00FD4865" w:rsidRPr="00750D25" w:rsidRDefault="00FD4865" w:rsidP="00750D25">
      <w:pPr>
        <w:jc w:val="both"/>
        <w:rPr>
          <w:color w:val="000000" w:themeColor="text1"/>
          <w:sz w:val="20"/>
          <w:szCs w:val="20"/>
        </w:rPr>
      </w:pPr>
      <w:r w:rsidRPr="00750D25">
        <w:rPr>
          <w:color w:val="000000" w:themeColor="text1"/>
          <w:sz w:val="20"/>
          <w:szCs w:val="20"/>
        </w:rPr>
        <w:t>The HR service provides its services across the Council and to Head Teachers and Governing bodies in maintained schools and academies.</w:t>
      </w:r>
    </w:p>
    <w:p w:rsidR="001543B8" w:rsidRPr="00750D25" w:rsidRDefault="00FD4865" w:rsidP="00750D25">
      <w:pPr>
        <w:pStyle w:val="Default"/>
        <w:jc w:val="both"/>
        <w:rPr>
          <w:rFonts w:asciiTheme="minorHAnsi" w:hAnsiTheme="minorHAnsi"/>
          <w:color w:val="000000" w:themeColor="text1"/>
          <w:sz w:val="20"/>
          <w:szCs w:val="20"/>
        </w:rPr>
      </w:pPr>
      <w:r w:rsidRPr="00750D25">
        <w:rPr>
          <w:rFonts w:asciiTheme="minorHAnsi" w:hAnsiTheme="minorHAnsi"/>
          <w:color w:val="000000" w:themeColor="text1"/>
          <w:sz w:val="20"/>
          <w:szCs w:val="20"/>
        </w:rPr>
        <w:t xml:space="preserve"> The service provides professional HR advice, support and guidance on all complex employment related matters </w:t>
      </w:r>
      <w:r w:rsidR="001543B8" w:rsidRPr="00750D25">
        <w:rPr>
          <w:rFonts w:asciiTheme="minorHAnsi" w:hAnsiTheme="minorHAnsi"/>
          <w:color w:val="000000" w:themeColor="text1"/>
          <w:sz w:val="20"/>
          <w:szCs w:val="20"/>
        </w:rPr>
        <w:t>which is underpinned by contractual and legal obligations the Council must adhere to.</w:t>
      </w:r>
    </w:p>
    <w:p w:rsidR="00FD4865" w:rsidRPr="00750D25" w:rsidRDefault="00FD4865" w:rsidP="00750D25">
      <w:pPr>
        <w:pStyle w:val="Default"/>
        <w:jc w:val="both"/>
        <w:rPr>
          <w:rFonts w:asciiTheme="minorHAnsi" w:hAnsiTheme="minorHAnsi"/>
          <w:color w:val="000000" w:themeColor="text1"/>
          <w:sz w:val="20"/>
          <w:szCs w:val="20"/>
        </w:rPr>
      </w:pPr>
    </w:p>
    <w:p w:rsidR="001543B8" w:rsidRPr="00750D25" w:rsidRDefault="001543B8" w:rsidP="00750D25">
      <w:pPr>
        <w:pStyle w:val="Default"/>
        <w:jc w:val="both"/>
        <w:rPr>
          <w:rFonts w:asciiTheme="minorHAnsi" w:hAnsiTheme="minorHAnsi"/>
          <w:color w:val="000000" w:themeColor="text1"/>
          <w:sz w:val="20"/>
          <w:szCs w:val="20"/>
        </w:rPr>
      </w:pPr>
      <w:r w:rsidRPr="00750D25">
        <w:rPr>
          <w:rFonts w:asciiTheme="minorHAnsi" w:hAnsiTheme="minorHAnsi"/>
          <w:color w:val="000000" w:themeColor="text1"/>
          <w:sz w:val="20"/>
          <w:szCs w:val="20"/>
        </w:rPr>
        <w:t>The service manages negotiations and consultations with recognised trade unions, including supporting the Council in managing any workforce disputes.</w:t>
      </w:r>
    </w:p>
    <w:p w:rsidR="001543B8" w:rsidRPr="00750D25" w:rsidRDefault="001543B8" w:rsidP="00750D25">
      <w:pPr>
        <w:pStyle w:val="Default"/>
        <w:jc w:val="both"/>
        <w:rPr>
          <w:rFonts w:asciiTheme="minorHAnsi" w:hAnsiTheme="minorHAnsi"/>
          <w:color w:val="000000" w:themeColor="text1"/>
          <w:sz w:val="20"/>
          <w:szCs w:val="20"/>
        </w:rPr>
      </w:pPr>
    </w:p>
    <w:p w:rsidR="001543B8" w:rsidRPr="00750D25" w:rsidRDefault="001543B8" w:rsidP="00750D25">
      <w:pPr>
        <w:jc w:val="both"/>
        <w:rPr>
          <w:sz w:val="20"/>
          <w:szCs w:val="20"/>
        </w:rPr>
      </w:pPr>
      <w:r w:rsidRPr="00750D25">
        <w:rPr>
          <w:color w:val="000000" w:themeColor="text1"/>
          <w:sz w:val="20"/>
          <w:szCs w:val="20"/>
        </w:rPr>
        <w:t>The service reviews and develops employment policies and procedures to ensure the Council/Schools meets statutory requirements, business needs and public sector equality duties</w:t>
      </w:r>
    </w:p>
    <w:p w:rsidR="00FD4865" w:rsidRPr="00750D25" w:rsidRDefault="00FD4865" w:rsidP="00750D25">
      <w:pPr>
        <w:pStyle w:val="Default"/>
        <w:jc w:val="both"/>
        <w:rPr>
          <w:rFonts w:asciiTheme="minorHAnsi" w:hAnsiTheme="minorHAnsi"/>
          <w:color w:val="000000" w:themeColor="text1"/>
          <w:sz w:val="20"/>
          <w:szCs w:val="20"/>
        </w:rPr>
      </w:pPr>
      <w:r w:rsidRPr="00750D25">
        <w:rPr>
          <w:rFonts w:asciiTheme="minorHAnsi" w:hAnsiTheme="minorHAnsi"/>
          <w:color w:val="000000" w:themeColor="text1"/>
          <w:sz w:val="20"/>
          <w:szCs w:val="20"/>
        </w:rPr>
        <w:t>The service oversees the council's duties and responsibilities in respect of recruitment and selection to ensure that equality of opportunity, and appointment on merit are upheld as fundamental standards and requirements of its public duties.</w:t>
      </w:r>
    </w:p>
    <w:p w:rsidR="00FD4865" w:rsidRPr="00750D25" w:rsidRDefault="00FD4865" w:rsidP="00750D25">
      <w:pPr>
        <w:pStyle w:val="Default"/>
        <w:jc w:val="both"/>
        <w:rPr>
          <w:rFonts w:asciiTheme="minorHAnsi" w:hAnsiTheme="minorHAnsi"/>
          <w:color w:val="000000" w:themeColor="text1"/>
          <w:sz w:val="20"/>
          <w:szCs w:val="20"/>
        </w:rPr>
      </w:pPr>
    </w:p>
    <w:p w:rsidR="00FD4865" w:rsidRPr="00750D25" w:rsidRDefault="00FD4865" w:rsidP="00750D25">
      <w:pPr>
        <w:pStyle w:val="Default"/>
        <w:jc w:val="both"/>
        <w:rPr>
          <w:rFonts w:asciiTheme="minorHAnsi" w:hAnsiTheme="minorHAnsi"/>
          <w:color w:val="000000" w:themeColor="text1"/>
          <w:sz w:val="20"/>
          <w:szCs w:val="20"/>
        </w:rPr>
      </w:pPr>
      <w:r w:rsidRPr="00750D25">
        <w:rPr>
          <w:rFonts w:asciiTheme="minorHAnsi" w:hAnsiTheme="minorHAnsi"/>
          <w:color w:val="000000" w:themeColor="text1"/>
          <w:sz w:val="20"/>
          <w:szCs w:val="20"/>
        </w:rPr>
        <w:t>The Schools HR service is expected to become fully traded with schools on a full cost recovery basis from 2016/17 with 2015/16 being the transitional year where the schools forum have agreed to fund transition plan with schools finance colleagues.</w:t>
      </w:r>
    </w:p>
    <w:p w:rsidR="001543B8" w:rsidRPr="00750D25" w:rsidRDefault="001543B8" w:rsidP="00750D25">
      <w:pPr>
        <w:pStyle w:val="Default"/>
        <w:jc w:val="both"/>
        <w:rPr>
          <w:rFonts w:asciiTheme="minorHAnsi" w:hAnsiTheme="minorHAnsi"/>
          <w:color w:val="000000" w:themeColor="text1"/>
          <w:sz w:val="20"/>
          <w:szCs w:val="20"/>
        </w:rPr>
      </w:pPr>
    </w:p>
    <w:p w:rsidR="001543B8" w:rsidRPr="00750D25" w:rsidRDefault="001543B8" w:rsidP="001543B8">
      <w:pPr>
        <w:pStyle w:val="Default"/>
        <w:rPr>
          <w:rFonts w:asciiTheme="minorHAnsi" w:hAnsiTheme="minorHAnsi"/>
          <w:color w:val="000000" w:themeColor="text1"/>
          <w:sz w:val="20"/>
          <w:szCs w:val="20"/>
        </w:rPr>
      </w:pPr>
    </w:p>
    <w:p w:rsidR="00FD4865" w:rsidRPr="00750D25" w:rsidRDefault="00FD4865" w:rsidP="00D62128">
      <w:pPr>
        <w:rPr>
          <w:sz w:val="20"/>
          <w:szCs w:val="20"/>
        </w:rPr>
      </w:pPr>
    </w:p>
    <w:sectPr w:rsidR="00FD4865" w:rsidRPr="00750D25"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36BE6"/>
    <w:multiLevelType w:val="hybridMultilevel"/>
    <w:tmpl w:val="CA9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8516B"/>
    <w:rsid w:val="000D48EA"/>
    <w:rsid w:val="000E21C6"/>
    <w:rsid w:val="00115FA2"/>
    <w:rsid w:val="00144CA6"/>
    <w:rsid w:val="001543B8"/>
    <w:rsid w:val="001774BD"/>
    <w:rsid w:val="001B6643"/>
    <w:rsid w:val="001C156F"/>
    <w:rsid w:val="001E172B"/>
    <w:rsid w:val="001F5666"/>
    <w:rsid w:val="002013CF"/>
    <w:rsid w:val="002236CB"/>
    <w:rsid w:val="00226A71"/>
    <w:rsid w:val="0023105F"/>
    <w:rsid w:val="00241D35"/>
    <w:rsid w:val="00275FEF"/>
    <w:rsid w:val="00280EFB"/>
    <w:rsid w:val="002A3E9F"/>
    <w:rsid w:val="002B630A"/>
    <w:rsid w:val="0030700E"/>
    <w:rsid w:val="00314F83"/>
    <w:rsid w:val="00375A73"/>
    <w:rsid w:val="003869AC"/>
    <w:rsid w:val="003D055F"/>
    <w:rsid w:val="00411DA3"/>
    <w:rsid w:val="00443967"/>
    <w:rsid w:val="00452C66"/>
    <w:rsid w:val="00457654"/>
    <w:rsid w:val="00464F42"/>
    <w:rsid w:val="004661F3"/>
    <w:rsid w:val="00487F0F"/>
    <w:rsid w:val="004A6B06"/>
    <w:rsid w:val="004D588F"/>
    <w:rsid w:val="004D7782"/>
    <w:rsid w:val="004E121B"/>
    <w:rsid w:val="004E232D"/>
    <w:rsid w:val="004E4241"/>
    <w:rsid w:val="00573D19"/>
    <w:rsid w:val="005862A1"/>
    <w:rsid w:val="005957E5"/>
    <w:rsid w:val="005B386D"/>
    <w:rsid w:val="005C3A55"/>
    <w:rsid w:val="005D14EE"/>
    <w:rsid w:val="00604C13"/>
    <w:rsid w:val="0064633C"/>
    <w:rsid w:val="0065624A"/>
    <w:rsid w:val="0066742C"/>
    <w:rsid w:val="00685646"/>
    <w:rsid w:val="00692710"/>
    <w:rsid w:val="0069592C"/>
    <w:rsid w:val="006B2CE0"/>
    <w:rsid w:val="006F35E8"/>
    <w:rsid w:val="006F58CE"/>
    <w:rsid w:val="00711875"/>
    <w:rsid w:val="00716A4F"/>
    <w:rsid w:val="007467AF"/>
    <w:rsid w:val="00750D25"/>
    <w:rsid w:val="007A30C1"/>
    <w:rsid w:val="007C0E35"/>
    <w:rsid w:val="007C20FB"/>
    <w:rsid w:val="007C52F9"/>
    <w:rsid w:val="007D00B0"/>
    <w:rsid w:val="007D2F78"/>
    <w:rsid w:val="007D6CED"/>
    <w:rsid w:val="007E6BA9"/>
    <w:rsid w:val="008039DA"/>
    <w:rsid w:val="008252EB"/>
    <w:rsid w:val="00846A4F"/>
    <w:rsid w:val="0085708E"/>
    <w:rsid w:val="00891611"/>
    <w:rsid w:val="008C1A46"/>
    <w:rsid w:val="008E30D2"/>
    <w:rsid w:val="009304C0"/>
    <w:rsid w:val="00931B3F"/>
    <w:rsid w:val="00966F86"/>
    <w:rsid w:val="009C4647"/>
    <w:rsid w:val="009E0E1B"/>
    <w:rsid w:val="009E2D95"/>
    <w:rsid w:val="009F4C15"/>
    <w:rsid w:val="00A33171"/>
    <w:rsid w:val="00A61F59"/>
    <w:rsid w:val="00A91829"/>
    <w:rsid w:val="00AE14AD"/>
    <w:rsid w:val="00AE7339"/>
    <w:rsid w:val="00AF68E7"/>
    <w:rsid w:val="00B25405"/>
    <w:rsid w:val="00B26FCE"/>
    <w:rsid w:val="00B325D0"/>
    <w:rsid w:val="00B819B1"/>
    <w:rsid w:val="00BE1BC0"/>
    <w:rsid w:val="00BE44C4"/>
    <w:rsid w:val="00C116C8"/>
    <w:rsid w:val="00C3384B"/>
    <w:rsid w:val="00C50F5C"/>
    <w:rsid w:val="00C76C67"/>
    <w:rsid w:val="00C844FA"/>
    <w:rsid w:val="00C86586"/>
    <w:rsid w:val="00CA10C4"/>
    <w:rsid w:val="00CA2B52"/>
    <w:rsid w:val="00CB36BD"/>
    <w:rsid w:val="00CB7956"/>
    <w:rsid w:val="00CC0B1B"/>
    <w:rsid w:val="00D62128"/>
    <w:rsid w:val="00D63A93"/>
    <w:rsid w:val="00D64925"/>
    <w:rsid w:val="00D81D7D"/>
    <w:rsid w:val="00D82B6E"/>
    <w:rsid w:val="00D91624"/>
    <w:rsid w:val="00E11356"/>
    <w:rsid w:val="00E17B81"/>
    <w:rsid w:val="00E26AB7"/>
    <w:rsid w:val="00E32D62"/>
    <w:rsid w:val="00E56AA9"/>
    <w:rsid w:val="00E72817"/>
    <w:rsid w:val="00EA1D7C"/>
    <w:rsid w:val="00EB46A1"/>
    <w:rsid w:val="00ED578E"/>
    <w:rsid w:val="00F15B60"/>
    <w:rsid w:val="00F26FCF"/>
    <w:rsid w:val="00F33211"/>
    <w:rsid w:val="00F679F6"/>
    <w:rsid w:val="00F67BFD"/>
    <w:rsid w:val="00F92A71"/>
    <w:rsid w:val="00F9314E"/>
    <w:rsid w:val="00FA6D71"/>
    <w:rsid w:val="00FA744B"/>
    <w:rsid w:val="00FB61AD"/>
    <w:rsid w:val="00FB75C9"/>
    <w:rsid w:val="00FD4865"/>
    <w:rsid w:val="00FF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9038D-9A72-4D23-9EEE-2922A94C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paragraph" w:customStyle="1" w:styleId="Default">
    <w:name w:val="Default"/>
    <w:rsid w:val="004576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F56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2A596-D217-4C20-B98A-CC61EEA3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Steve (via secretary)</dc:creator>
  <cp:lastModifiedBy>Mather, Chris</cp:lastModifiedBy>
  <cp:revision>9</cp:revision>
  <cp:lastPrinted>2015-10-13T07:05:00Z</cp:lastPrinted>
  <dcterms:created xsi:type="dcterms:W3CDTF">2015-11-12T07:49:00Z</dcterms:created>
  <dcterms:modified xsi:type="dcterms:W3CDTF">2015-11-13T18:08:00Z</dcterms:modified>
</cp:coreProperties>
</file>